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Catcher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8"/>
        <w:rPr>
          <w:rFonts w:ascii="Arial Black"/>
          <w:b/>
          <w:sz w:val="11"/>
        </w:rPr>
      </w:pPr>
      <w:r>
        <w:rPr/>
        <w:pict>
          <v:group style="position:absolute;margin-left:120.900002pt;margin-top:10.111543pt;width:309pt;height:201pt;mso-position-horizontal-relative:page;mso-position-vertical-relative:paragraph;z-index:0;mso-wrap-distance-left:0;mso-wrap-distance-right:0" coordorigin="2418,202" coordsize="6180,4020">
            <v:shape style="position:absolute;left:2418;top:202;width:2808;height:4008" type="#_x0000_t75" stroked="false">
              <v:imagedata r:id="rId6" o:title=""/>
            </v:shape>
            <v:shape style="position:absolute;left:5238;top:322;width:3360;height:3900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5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GL-301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-Confort de jeu et fonctionnalité exceptionnels pour compétiteurs confirmés.</w:t>
      </w:r>
    </w:p>
    <w:p>
      <w:pPr>
        <w:pStyle w:val="BodyText"/>
        <w:spacing w:before="148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</w:t>
      </w:r>
    </w:p>
    <w:p>
      <w:pPr>
        <w:pStyle w:val="BodyText"/>
        <w:spacing w:before="148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marron</w:t>
      </w:r>
    </w:p>
    <w:p>
      <w:pPr>
        <w:pStyle w:val="BodyText"/>
        <w:spacing w:before="149"/>
        <w:ind w:left="1108"/>
      </w:pPr>
      <w:r>
        <w:rPr>
          <w:color w:val="414141"/>
        </w:rPr>
        <w:t>-Taille disponible : 34’’</w:t>
      </w:r>
    </w:p>
    <w:p>
      <w:pPr>
        <w:pStyle w:val="BodyText"/>
        <w:spacing w:before="151"/>
        <w:ind w:left="1108"/>
      </w:pPr>
      <w:hyperlink r:id="rId8">
        <w:r>
          <w:rPr>
            <w:color w:val="0462C1"/>
            <w:u w:val="single" w:color="0462C1"/>
          </w:rPr>
          <w:t>http://www.barnett.fr/gl-301-gant-de-baseball-cuir-de-1er-base-pour-adu.html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33842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33842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301-gant-de-baseball-cuir-de-1er-base-pour-adu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2017-06-05T10:53:40Z</dcterms:created>
  <dcterms:modified xsi:type="dcterms:W3CDTF">2017-06-05T10:53:40Z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