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6"/>
        </w:rPr>
      </w:pPr>
    </w:p>
    <w:p>
      <w:pPr>
        <w:pStyle w:val="BodyText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4.2pt;height:.5pt;mso-position-horizontal-relative:char;mso-position-vertical-relative:line" coordorigin="0,0" coordsize="9084,10">
            <v:line style="position:absolute" from="5,5" to="9078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245" w:right="0" w:firstLine="0"/>
        <w:jc w:val="left"/>
        <w:rPr>
          <w:b/>
          <w:sz w:val="28"/>
        </w:rPr>
      </w:pPr>
      <w:r>
        <w:rPr>
          <w:b/>
          <w:color w:val="414141"/>
          <w:sz w:val="28"/>
        </w:rPr>
        <w:t>barnett GL ASS  -1</w:t>
      </w:r>
    </w:p>
    <w:p>
      <w:pPr>
        <w:pStyle w:val="BodyText"/>
        <w:spacing w:before="8"/>
        <w:rPr>
          <w:b/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70.823997pt,15.440251pt" to="524.493997pt,15.44025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5" w:after="56"/>
        <w:ind w:left="244" w:right="366"/>
      </w:pPr>
      <w:r>
        <w:rPr>
          <w:rFonts w:ascii="Calibri-BoldItalic" w:hAnsi="Calibri-BoldItalic"/>
          <w:b/>
          <w:i/>
          <w:sz w:val="20"/>
        </w:rPr>
        <w:t>Description </w:t>
      </w:r>
      <w:r>
        <w:rPr/>
        <w:t>: Lunettes de soleil unisexe avec verres interchangeables </w:t>
      </w:r>
      <w:r>
        <w:rPr>
          <w:color w:val="414141"/>
        </w:rPr>
        <w:t>qui s'adaptent à toutes les situations et luminosité en extérieur. </w:t>
      </w:r>
      <w:r>
        <w:rPr/>
        <w:t>Constituées de polycarbonate et de thermoplastique élastomère les lunettes de soleil Barnett offrent légèreté et résistance. Elles procurent un confort sans pareil pour la pratique de nombreux sports.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3399"/>
        <w:gridCol w:w="4011"/>
      </w:tblGrid>
      <w:tr>
        <w:trPr>
          <w:trHeight w:val="328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63" w:hanging="3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rFonts w:ascii="Calibri-BoldItalic" w:hAnsi="Calibri-BoldItalic"/>
                <w:b/>
                <w:i/>
                <w:w w:val="95"/>
                <w:sz w:val="20"/>
              </w:rPr>
              <w:t>Caractéristiques dimensionnelles</w:t>
            </w:r>
          </w:p>
        </w:tc>
        <w:tc>
          <w:tcPr>
            <w:tcW w:w="741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886" w:right="2975"/>
              <w:jc w:val="center"/>
              <w:rPr>
                <w:b/>
                <w:sz w:val="16"/>
              </w:rPr>
            </w:pPr>
            <w:r>
              <w:rPr>
                <w:b/>
                <w:color w:val="F4AF83"/>
                <w:sz w:val="16"/>
              </w:rPr>
              <w:t>123mm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877"/>
              <w:rPr>
                <w:sz w:val="16"/>
              </w:rPr>
            </w:pPr>
            <w:r>
              <w:rPr>
                <w:color w:val="4471C4"/>
                <w:sz w:val="16"/>
              </w:rPr>
              <w:t>101mm</w:t>
            </w:r>
          </w:p>
          <w:p>
            <w:pPr>
              <w:pStyle w:val="TableParagraph"/>
              <w:spacing w:before="94"/>
              <w:ind w:left="1164"/>
              <w:rPr>
                <w:sz w:val="16"/>
              </w:rPr>
            </w:pPr>
            <w:r>
              <w:rPr>
                <w:color w:val="4471C4"/>
                <w:sz w:val="16"/>
              </w:rPr>
              <w:t>8mm</w:t>
            </w:r>
          </w:p>
          <w:p>
            <w:pPr>
              <w:pStyle w:val="TableParagraph"/>
              <w:spacing w:before="44"/>
              <w:ind w:left="1855"/>
              <w:rPr>
                <w:sz w:val="16"/>
              </w:rPr>
            </w:pPr>
            <w:r>
              <w:rPr>
                <w:color w:val="4471C4"/>
                <w:sz w:val="16"/>
              </w:rPr>
              <w:t>25mm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722"/>
              <w:rPr>
                <w:sz w:val="16"/>
              </w:rPr>
            </w:pPr>
            <w:r>
              <w:rPr>
                <w:color w:val="F4AF83"/>
                <w:sz w:val="16"/>
              </w:rPr>
              <w:t>25mm</w:t>
            </w:r>
          </w:p>
          <w:p>
            <w:pPr>
              <w:pStyle w:val="TableParagraph"/>
              <w:spacing w:before="39"/>
              <w:ind w:left="4651"/>
              <w:rPr>
                <w:sz w:val="16"/>
              </w:rPr>
            </w:pPr>
            <w:r>
              <w:rPr>
                <w:color w:val="F4AF83"/>
                <w:sz w:val="16"/>
              </w:rPr>
              <w:t>73mm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353"/>
              <w:rPr>
                <w:sz w:val="16"/>
              </w:rPr>
            </w:pPr>
            <w:r>
              <w:rPr>
                <w:color w:val="4471C4"/>
                <w:sz w:val="16"/>
              </w:rPr>
              <w:t>2mm</w:t>
            </w:r>
          </w:p>
        </w:tc>
      </w:tr>
      <w:tr>
        <w:trPr>
          <w:trHeight w:val="24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08"/>
              <w:rPr>
                <w:rFonts w:ascii="Calibri-BoldItalic"/>
                <w:b/>
                <w:i/>
                <w:sz w:val="20"/>
              </w:rPr>
            </w:pPr>
            <w:r>
              <w:rPr>
                <w:rFonts w:ascii="Calibri-BoldItalic"/>
                <w:b/>
                <w:i/>
                <w:sz w:val="20"/>
              </w:rPr>
              <w:t>Composants</w:t>
            </w:r>
          </w:p>
        </w:tc>
        <w:tc>
          <w:tcPr>
            <w:tcW w:w="3399" w:type="dxa"/>
          </w:tcPr>
          <w:p>
            <w:pPr>
              <w:pStyle w:val="TableParagraph"/>
              <w:spacing w:line="223" w:lineRule="exact" w:before="1"/>
              <w:ind w:left="102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rFonts w:ascii="Calibri-BoldItalic" w:hAnsi="Calibri-BoldItalic"/>
                <w:b/>
                <w:i/>
                <w:sz w:val="20"/>
              </w:rPr>
              <w:t>Matériaux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105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rFonts w:ascii="Calibri-BoldItalic" w:hAnsi="Calibri-BoldItalic"/>
                <w:b/>
                <w:i/>
                <w:sz w:val="20"/>
              </w:rPr>
              <w:t>Caractéristiques</w:t>
            </w:r>
          </w:p>
        </w:tc>
      </w:tr>
      <w:tr>
        <w:trPr>
          <w:trHeight w:val="24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Verre</w:t>
            </w:r>
          </w:p>
        </w:tc>
        <w:tc>
          <w:tcPr>
            <w:tcW w:w="3399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Polycarbonate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Très résistant aux chocs et très léger</w:t>
            </w:r>
          </w:p>
        </w:tc>
      </w:tr>
      <w:tr>
        <w:trPr>
          <w:trHeight w:val="42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Corps</w:t>
            </w:r>
          </w:p>
        </w:tc>
        <w:tc>
          <w:tcPr>
            <w:tcW w:w="3399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TR90 (plastique)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Résistance excellente pour une pratique sportive</w:t>
            </w:r>
          </w:p>
          <w:p>
            <w:pPr>
              <w:pStyle w:val="TableParagraph"/>
              <w:spacing w:line="19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intensive. Le TR90 ne retient pas l’eau</w:t>
            </w:r>
          </w:p>
        </w:tc>
      </w:tr>
      <w:tr>
        <w:trPr>
          <w:trHeight w:val="22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Pièces d’embouts</w:t>
            </w:r>
          </w:p>
        </w:tc>
        <w:tc>
          <w:tcPr>
            <w:tcW w:w="3399" w:type="dxa"/>
          </w:tcPr>
          <w:p>
            <w:pPr>
              <w:pStyle w:val="TableParagraph"/>
              <w:spacing w:line="199" w:lineRule="exact" w:before="1"/>
              <w:ind w:left="102"/>
              <w:rPr>
                <w:sz w:val="18"/>
              </w:rPr>
            </w:pPr>
            <w:r>
              <w:rPr>
                <w:sz w:val="18"/>
              </w:rPr>
              <w:t>Caoutchouc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spacing w:line="19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Sécurise le verre et évite le glissement</w:t>
            </w:r>
          </w:p>
        </w:tc>
      </w:tr>
      <w:tr>
        <w:trPr>
          <w:trHeight w:val="42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Protections ou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écrans latéraux ?</w:t>
            </w:r>
          </w:p>
        </w:tc>
        <w:tc>
          <w:tcPr>
            <w:tcW w:w="3399" w:type="dxa"/>
          </w:tcPr>
          <w:p>
            <w:pPr>
              <w:pStyle w:val="TableParagraph"/>
              <w:spacing w:before="109"/>
              <w:ind w:left="102"/>
              <w:rPr>
                <w:sz w:val="18"/>
              </w:rPr>
            </w:pPr>
            <w:r>
              <w:rPr>
                <w:sz w:val="18"/>
              </w:rPr>
              <w:t>aucun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Branches</w:t>
            </w:r>
          </w:p>
        </w:tc>
        <w:tc>
          <w:tcPr>
            <w:tcW w:w="3399" w:type="dxa"/>
          </w:tcPr>
          <w:p>
            <w:pPr>
              <w:pStyle w:val="TableParagraph"/>
              <w:spacing w:line="199" w:lineRule="exact" w:before="1"/>
              <w:ind w:left="102"/>
              <w:rPr>
                <w:sz w:val="18"/>
              </w:rPr>
            </w:pPr>
            <w:r>
              <w:rPr>
                <w:sz w:val="18"/>
              </w:rPr>
              <w:t>Polycarbonate/TPR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spacing w:line="19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Confortable et antidérapant</w:t>
            </w:r>
          </w:p>
        </w:tc>
      </w:tr>
      <w:tr>
        <w:trPr>
          <w:trHeight w:val="20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Vis</w:t>
            </w:r>
          </w:p>
        </w:tc>
        <w:tc>
          <w:tcPr>
            <w:tcW w:w="3399" w:type="dxa"/>
          </w:tcPr>
          <w:p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Acier inoxydable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Résistance à la corrosion et mécanique</w:t>
            </w:r>
          </w:p>
        </w:tc>
      </w:tr>
    </w:tbl>
    <w:p>
      <w:pPr>
        <w:spacing w:before="124"/>
        <w:ind w:left="13" w:right="0" w:firstLine="0"/>
        <w:jc w:val="center"/>
        <w:rPr>
          <w:rFonts w:ascii="Calibri-BoldItalic" w:hAnsi="Calibri-BoldItalic"/>
          <w:b/>
          <w:i/>
          <w:sz w:val="20"/>
        </w:rPr>
      </w:pPr>
      <w:r>
        <w:rPr/>
        <w:pict>
          <v:group style="position:absolute;margin-left:160.419998pt;margin-top:-268.728516pt;width:357.6pt;height:162.5pt;mso-position-horizontal-relative:page;mso-position-vertical-relative:paragraph;z-index:-5296" coordorigin="3208,-5375" coordsize="7152,3250">
            <v:shape style="position:absolute;left:3208;top:-5375;width:7152;height:3250" type="#_x0000_t75" stroked="false">
              <v:imagedata r:id="rId5" o:title=""/>
            </v:shape>
            <v:shape style="position:absolute;left:4121;top:-3996;width:3991;height:1466" coordorigin="4122,-3996" coordsize="3991,1466" path="m4320,-2774l4275,-2772,4211,-3862,4256,-3865,4245,-3885,4181,-3996,4122,-3857,4167,-3859,4231,-2769,4186,-2766,4261,-2636,4309,-2747,4320,-2774m8112,-2542l8093,-2563,8012,-2655,7995,-2613,5570,-3592,5573,-3600,5586,-3634,5436,-3622,5536,-3508,5553,-3550,7978,-2571,7962,-2530,8112,-2542e" filled="true" fillcolor="#ec7c30" stroked="false">
              <v:path arrowok="t"/>
              <v:fill type="solid"/>
            </v:shape>
            <v:shape style="position:absolute;left:4768;top:-3955;width:167;height:241" type="#_x0000_t75" stroked="false">
              <v:imagedata r:id="rId6" o:title=""/>
            </v:shape>
            <v:shape style="position:absolute;left:4497;top:-2686;width:267;height:164" type="#_x0000_t75" stroked="false">
              <v:imagedata r:id="rId7" o:title=""/>
            </v:shape>
            <v:shape style="position:absolute;left:3609;top:-5325;width:3375;height:327" coordorigin="3609,-5325" coordsize="3375,327" path="m3725,-5117l3609,-5050,3733,-4998,3730,-5041,3710,-5041,3708,-5071,3728,-5072,3725,-5117xm3728,-5072l3708,-5071,3710,-5041,3730,-5042,3728,-5072xm3730,-5042l3710,-5041,3730,-5041,3730,-5042xm6863,-5280l3728,-5072,3730,-5042,6865,-5250,6863,-5280xm6964,-5281l6883,-5281,6885,-5251,6865,-5250,6868,-5205,6984,-5273,6964,-5281xm6883,-5281l6863,-5280,6865,-5250,6885,-5251,6883,-5281xm6860,-5325l6863,-5280,6883,-5281,6964,-5281,6860,-5325xe" filled="true" fillcolor="#f8caac" stroked="false">
              <v:path arrowok="t"/>
              <v:fill type="solid"/>
            </v:shape>
            <v:shape style="position:absolute;left:4848;top:-5032;width:4232;height:1029" coordorigin="4848,-5031" coordsize="4232,1029" path="m8962,-4056l8950,-4003,9080,-4035,9059,-4052,8981,-4052,8962,-4056xm8964,-4066l8962,-4056,8981,-4052,8984,-4062,8964,-4066xm8976,-4120l8964,-4066,8984,-4062,8981,-4052,9059,-4052,8976,-4120xm4966,-4978l4964,-4968,8962,-4056,8964,-4066,4966,-4978xm4978,-5031l4848,-5000,4952,-4914,4964,-4968,4944,-4972,4947,-4982,4967,-4982,4978,-5031xm4947,-4982l4944,-4972,4964,-4968,4966,-4978,4947,-4982xm4967,-4982l4947,-4982,4966,-4978,4967,-4982xe" filled="true" fillcolor="#4471c4" stroked="false">
              <v:path arrowok="t"/>
              <v:fill type="solid"/>
            </v:shape>
            <v:shape style="position:absolute;left:3716;top:-4536;width:1031;height:828" coordorigin="3716,-4536" coordsize="1031,828" path="m4747,-3708l4546,-3780m4662,-4126l3716,-4536e" filled="false" stroked="true" strokeweight=".5pt" strokecolor="#4471c4">
              <v:path arrowok="t"/>
              <v:stroke dashstyle="shortdash"/>
            </v:shape>
            <v:shape style="position:absolute;left:4551;top:-4127;width:140;height:341" type="#_x0000_t75" stroked="false">
              <v:imagedata r:id="rId8" o:title=""/>
            </v:shape>
            <w10:wrap type="none"/>
          </v:group>
        </w:pict>
      </w:r>
      <w:r>
        <w:rPr>
          <w:rFonts w:ascii="Calibri-BoldItalic" w:hAnsi="Calibri-BoldItalic"/>
          <w:b/>
          <w:i/>
          <w:sz w:val="20"/>
        </w:rPr>
        <w:t>Spécifications Verres</w:t>
      </w:r>
    </w:p>
    <w:p>
      <w:pPr>
        <w:pStyle w:val="BodyText"/>
        <w:spacing w:before="11"/>
        <w:rPr>
          <w:rFonts w:ascii="Calibri-BoldItalic"/>
          <w:b/>
          <w:i/>
          <w:sz w:val="9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3399"/>
        <w:gridCol w:w="4011"/>
      </w:tblGrid>
      <w:tr>
        <w:trPr>
          <w:trHeight w:val="26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Style de verres</w:t>
            </w:r>
          </w:p>
        </w:tc>
        <w:tc>
          <w:tcPr>
            <w:tcW w:w="3399" w:type="dxa"/>
          </w:tcPr>
          <w:p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2 pièces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Lentille de base</w:t>
            </w:r>
          </w:p>
        </w:tc>
        <w:tc>
          <w:tcPr>
            <w:tcW w:w="3399" w:type="dxa"/>
          </w:tcPr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Courbure 8</w:t>
            </w:r>
          </w:p>
        </w:tc>
        <w:tc>
          <w:tcPr>
            <w:tcW w:w="401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3985" w:val="left" w:leader="none"/>
          <w:tab w:pos="9093" w:val="left" w:leader="none"/>
        </w:tabs>
        <w:spacing w:before="1"/>
        <w:ind w:left="19" w:right="0" w:firstLine="0"/>
        <w:jc w:val="center"/>
        <w:rPr>
          <w:rFonts w:ascii="Calibri-BoldItalic"/>
          <w:b/>
          <w:i/>
          <w:sz w:val="20"/>
        </w:rPr>
      </w:pPr>
      <w:r>
        <w:rPr/>
        <w:pict>
          <v:group style="position:absolute;margin-left:70.573997pt;margin-top:15.111499pt;width:454.2pt;height:216.15pt;mso-position-horizontal-relative:page;mso-position-vertical-relative:paragraph;z-index:1144;mso-wrap-distance-left:0;mso-wrap-distance-right:0" coordorigin="1411,302" coordsize="9084,4323">
            <v:line style="position:absolute" from="1416,4620" to="10490,4620" stroked="true" strokeweight=".47998pt" strokecolor="#000000">
              <v:stroke dashstyle="solid"/>
            </v:line>
            <v:shape style="position:absolute;left:3031;top:302;width:7344;height:4250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9;top:1040;width:1453;height:370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Verres jaunes pour un</w:t>
                    </w:r>
                  </w:p>
                  <w:p>
                    <w:pPr>
                      <w:spacing w:line="193" w:lineRule="exact" w:before="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meilleur contraste</w:t>
                    </w:r>
                  </w:p>
                </w:txbxContent>
              </v:textbox>
              <w10:wrap type="none"/>
            </v:shape>
            <v:shape style="position:absolute;left:2770;top:2269;width:1492;height:371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Verres gris parfaits par</w:t>
                    </w:r>
                  </w:p>
                  <w:p>
                    <w:pPr>
                      <w:spacing w:line="193" w:lineRule="exact" w:before="1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temps couvert</w:t>
                    </w:r>
                  </w:p>
                </w:txbxContent>
              </v:textbox>
              <w10:wrap type="none"/>
            </v:shape>
            <v:shape style="position:absolute;left:4544;top:3486;width:1681;height:41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Verres mirror idéal par</w:t>
                    </w:r>
                  </w:p>
                  <w:p>
                    <w:pPr>
                      <w:spacing w:line="216" w:lineRule="exact" w:before="1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temps ensoleillé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alibri-BoldItalic"/>
          <w:b/>
          <w:i/>
          <w:w w:val="99"/>
          <w:sz w:val="20"/>
          <w:u w:val="single"/>
        </w:rPr>
        <w:t> </w:t>
      </w:r>
      <w:r>
        <w:rPr>
          <w:rFonts w:ascii="Calibri-BoldItalic"/>
          <w:b/>
          <w:i/>
          <w:sz w:val="20"/>
          <w:u w:val="single"/>
        </w:rPr>
        <w:tab/>
        <w:t>Coloris</w:t>
      </w:r>
      <w:r>
        <w:rPr>
          <w:rFonts w:ascii="Calibri-BoldItalic"/>
          <w:b/>
          <w:i/>
          <w:spacing w:val="-9"/>
          <w:sz w:val="20"/>
          <w:u w:val="single"/>
        </w:rPr>
        <w:t> </w:t>
      </w:r>
      <w:r>
        <w:rPr>
          <w:rFonts w:ascii="Calibri-BoldItalic"/>
          <w:b/>
          <w:i/>
          <w:sz w:val="20"/>
          <w:u w:val="single"/>
        </w:rPr>
        <w:t>Verres</w:t>
        <w:tab/>
      </w:r>
    </w:p>
    <w:p>
      <w:pPr>
        <w:tabs>
          <w:tab w:pos="9209" w:val="left" w:leader="none"/>
        </w:tabs>
        <w:spacing w:line="217" w:lineRule="exact" w:before="0"/>
        <w:ind w:left="136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pacing w:val="16"/>
          <w:sz w:val="20"/>
          <w:u w:val="single"/>
        </w:rPr>
        <w:t> </w:t>
      </w:r>
      <w:r>
        <w:rPr>
          <w:sz w:val="20"/>
          <w:u w:val="single"/>
        </w:rPr>
        <w:t>Livré </w:t>
      </w:r>
      <w:r>
        <w:rPr>
          <w:color w:val="414141"/>
          <w:sz w:val="20"/>
          <w:u w:val="single" w:color="000000"/>
        </w:rPr>
        <w:t>avec une housse de protection et les 3 coloris de</w:t>
      </w:r>
      <w:r>
        <w:rPr>
          <w:color w:val="414141"/>
          <w:spacing w:val="-23"/>
          <w:sz w:val="20"/>
          <w:u w:val="single" w:color="000000"/>
        </w:rPr>
        <w:t> </w:t>
      </w:r>
      <w:r>
        <w:rPr>
          <w:color w:val="414141"/>
          <w:sz w:val="20"/>
          <w:u w:val="single" w:color="000000"/>
        </w:rPr>
        <w:t>verres</w:t>
        <w:tab/>
      </w:r>
    </w:p>
    <w:p>
      <w:pPr>
        <w:spacing w:before="10"/>
        <w:ind w:left="2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70.823997pt,15.181488pt" to="524.493997pt,15.181488pt" stroked="true" strokeweight=".47998pt" strokecolor="#000000">
            <v:stroke dashstyle="solid"/>
            <w10:wrap type="topAndBottom"/>
          </v:line>
        </w:pict>
      </w:r>
      <w:r>
        <w:rPr>
          <w:sz w:val="20"/>
        </w:rPr>
        <w:t>Poids : 24g</w:t>
      </w:r>
    </w:p>
    <w:p>
      <w:pPr>
        <w:spacing w:before="0" w:after="44"/>
        <w:ind w:left="244" w:right="0" w:firstLine="0"/>
        <w:jc w:val="left"/>
        <w:rPr>
          <w:sz w:val="20"/>
        </w:rPr>
      </w:pPr>
      <w:r>
        <w:rPr>
          <w:sz w:val="20"/>
        </w:rPr>
        <w:t>Couleur : noir ou blanc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4.9pt;height:.5pt;mso-position-horizontal-relative:char;mso-position-vertical-relative:line" coordorigin="0,0" coordsize="9098,10">
            <v:line style="position:absolute" from="5,5" to="9093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62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2017-05-17T10:54:15Z</dcterms:created>
  <dcterms:modified xsi:type="dcterms:W3CDTF">2017-05-17T10:54:15Z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2017-05-17T00:00:00Z</vt:filetime>
  </property>
</Properties>
</file>