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AE" w:rsidRDefault="00D13AAE">
      <w:pP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</w:pPr>
    </w:p>
    <w:p w:rsidR="0029547B" w:rsidRDefault="00D13AAE">
      <w:pPr>
        <w:rPr>
          <w:rFonts w:ascii="Verdana" w:hAnsi="Verdana"/>
          <w:color w:val="000066"/>
          <w:sz w:val="17"/>
          <w:szCs w:val="17"/>
          <w:shd w:val="clear" w:color="auto" w:fill="FFFFFF"/>
        </w:rPr>
      </w:pPr>
      <w:bookmarkStart w:id="0" w:name="_GoBack"/>
      <w:proofErr w:type="spellStart"/>
      <w:r w:rsidRPr="00D13AAE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>Umstellung</w:t>
      </w:r>
      <w:proofErr w:type="spellEnd"/>
      <w:r w:rsidRPr="00D13AAE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 xml:space="preserve"> </w:t>
      </w:r>
      <w:proofErr w:type="spellStart"/>
      <w:r w:rsidRPr="00D13AAE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>auf</w:t>
      </w:r>
      <w:proofErr w:type="spellEnd"/>
      <w:r w:rsidRPr="00D13AAE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 xml:space="preserve"> </w:t>
      </w:r>
      <w:proofErr w:type="spellStart"/>
      <w:r w:rsidRPr="00D13AAE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>NutriBird</w:t>
      </w:r>
      <w:proofErr w:type="spellEnd"/>
      <w:r w:rsidRPr="00D13AAE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 xml:space="preserve"> </w:t>
      </w:r>
      <w:proofErr w:type="spellStart"/>
      <w:r w:rsidRPr="00D13AAE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>Pelletfutter</w:t>
      </w:r>
      <w:proofErr w:type="spellEnd"/>
      <w:r w:rsidRPr="00D13AAE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>:</w:t>
      </w:r>
      <w:bookmarkEnd w:id="0"/>
      <w:r>
        <w:rPr>
          <w:rFonts w:ascii="Verdana" w:hAnsi="Verdana"/>
          <w:color w:val="000066"/>
          <w:sz w:val="17"/>
          <w:szCs w:val="17"/>
        </w:rPr>
        <w:br/>
      </w:r>
      <w:r>
        <w:rPr>
          <w:rFonts w:ascii="Verdana" w:hAnsi="Verdana"/>
          <w:color w:val="0000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66"/>
          <w:sz w:val="17"/>
          <w:szCs w:val="17"/>
        </w:rPr>
        <w:br/>
      </w:r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 xml:space="preserve">1. </w:t>
      </w:r>
      <w:proofErr w:type="spellStart"/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>Vorbereitungsphase</w:t>
      </w:r>
      <w:proofErr w:type="spellEnd"/>
      <w:r>
        <w:rPr>
          <w:rFonts w:ascii="Verdana" w:hAnsi="Verdana"/>
          <w:color w:val="000066"/>
          <w:sz w:val="17"/>
          <w:szCs w:val="17"/>
        </w:rPr>
        <w:br/>
      </w:r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Bei kleineren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Vogelarten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Kanarienvögel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Exoten,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Waldvögel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Wellensittiche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)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wird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empfohlen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sie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zuerst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auf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die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Umstellung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vorzubereiten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. 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ist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nicht die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Absicht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die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Vögel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in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dieser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Vorbereitungsphase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zum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Fressen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von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Pellets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zu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zwingen. Man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lehrt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die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Vögel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die Pellets als Teil der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Nahrung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zu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erkennen. Man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gibt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2 bis 3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Wochen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lang die normale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Saatmischung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mit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10 %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hinzugefügten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Pellets. Bei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Großsittichen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und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Papageien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ist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diese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Vorbereitungsphase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nicht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erforderlich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66"/>
          <w:sz w:val="17"/>
          <w:szCs w:val="17"/>
        </w:rPr>
        <w:br/>
      </w:r>
      <w:r>
        <w:rPr>
          <w:rFonts w:ascii="Verdana" w:hAnsi="Verdana"/>
          <w:color w:val="0000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66"/>
          <w:sz w:val="17"/>
          <w:szCs w:val="17"/>
        </w:rPr>
        <w:br/>
      </w:r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 xml:space="preserve">2. Die </w:t>
      </w:r>
      <w:proofErr w:type="spellStart"/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>eigentliche</w:t>
      </w:r>
      <w:proofErr w:type="spellEnd"/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>Umstellung</w:t>
      </w:r>
      <w:proofErr w:type="spellEnd"/>
      <w:r>
        <w:rPr>
          <w:rFonts w:ascii="Verdana" w:hAnsi="Verdana"/>
          <w:color w:val="000066"/>
          <w:sz w:val="17"/>
          <w:szCs w:val="17"/>
        </w:rPr>
        <w:br/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Während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der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Umstellung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erfolgt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keine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Mischung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mehr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von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Samen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und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Pellets. Den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Vögeln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werden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ständig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reine Pellets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zur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Verfügung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gestellt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Gemäss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folgendem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Schema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erhalten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die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Vögel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an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einigen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Tagen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auch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noch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einen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gesonderten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Behälter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mit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Samen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nach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Belieben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. Die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Zeiträume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in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denen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die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Vögel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nur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Pellets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bekommen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werden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jedoch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stets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länger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sodass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sie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verpflichtet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sind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mehr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von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den Pellets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zu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fressen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Um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kein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Risiko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einzugehen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dass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die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Vögel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zu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viel Gewicht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verlieren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, werden die 'Samen-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Tage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' in das Schema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eingebaut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Während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dieser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Tage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können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die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Vögel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die Energie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zurückgewinnen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die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sie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eventuell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durch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eine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reduzierte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Futteraufnahme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während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der 'Pellet-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Tage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' verloren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haben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.</w:t>
      </w:r>
    </w:p>
    <w:tbl>
      <w:tblPr>
        <w:tblW w:w="6000" w:type="dxa"/>
        <w:tblCellSpacing w:w="7" w:type="dxa"/>
        <w:shd w:val="clear" w:color="auto" w:fill="00006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4"/>
        <w:gridCol w:w="2156"/>
        <w:gridCol w:w="837"/>
        <w:gridCol w:w="2163"/>
      </w:tblGrid>
      <w:tr w:rsidR="00D13AAE" w:rsidRPr="00D13AAE" w:rsidTr="00D13AAE">
        <w:trPr>
          <w:trHeight w:val="450"/>
          <w:tblCellSpacing w:w="7" w:type="dxa"/>
        </w:trPr>
        <w:tc>
          <w:tcPr>
            <w:tcW w:w="0" w:type="auto"/>
            <w:gridSpan w:val="4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u w:val="single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u w:val="single"/>
                <w:lang w:eastAsia="nl-NL"/>
              </w:rPr>
              <w:t>NutriBird</w:t>
            </w:r>
            <w:proofErr w:type="spellEnd"/>
            <w:r w:rsidRPr="00D13AAE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u w:val="single"/>
                <w:lang w:eastAsia="nl-NL"/>
              </w:rPr>
              <w:t xml:space="preserve"> </w:t>
            </w:r>
            <w:proofErr w:type="spellStart"/>
            <w:r w:rsidRPr="00D13AAE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u w:val="single"/>
                <w:lang w:eastAsia="nl-NL"/>
              </w:rPr>
              <w:t>Umstellungstabelle</w:t>
            </w:r>
            <w:proofErr w:type="spellEnd"/>
            <w:r w:rsidRPr="00D13AAE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u w:val="single"/>
                <w:lang w:eastAsia="nl-NL"/>
              </w:rPr>
              <w:t>:</w:t>
            </w:r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2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D13AAE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+ Samen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23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D13AAE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+ Samen</w:t>
            </w:r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4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D13AAE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+ Samen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7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D13AAE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+ Samen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28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D13AAE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+ Samen</w:t>
            </w:r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10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D13AAE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+ Samen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34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D13AAE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+ Samen</w:t>
            </w:r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14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D13AAE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+ Samen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38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18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D13AAE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+ Samen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40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D13AAE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+ Samen</w:t>
            </w:r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D13AAE" w:rsidRPr="00D13AAE" w:rsidTr="00D13A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Tag ...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3AAE" w:rsidRPr="00D13AAE" w:rsidRDefault="00D13AAE" w:rsidP="00D13A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D13AAE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</w:tbl>
    <w:p w:rsidR="00D13AAE" w:rsidRDefault="00D13AAE">
      <w:r w:rsidRPr="00D13AAE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 </w:t>
      </w:r>
      <w:r w:rsidRPr="00D13AAE">
        <w:rPr>
          <w:rFonts w:ascii="Verdana" w:eastAsia="Times New Roman" w:hAnsi="Verdana" w:cs="Times New Roman"/>
          <w:color w:val="000066"/>
          <w:sz w:val="17"/>
          <w:szCs w:val="17"/>
          <w:lang w:eastAsia="nl-NL"/>
        </w:rPr>
        <w:br/>
      </w:r>
      <w:r w:rsidRPr="00D13AAE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 xml:space="preserve">Ab </w:t>
      </w:r>
      <w:proofErr w:type="spellStart"/>
      <w:r w:rsidRPr="00D13AAE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dem</w:t>
      </w:r>
      <w:proofErr w:type="spellEnd"/>
      <w:r w:rsidRPr="00D13AAE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 xml:space="preserve"> 42. Tag </w:t>
      </w:r>
      <w:proofErr w:type="spellStart"/>
      <w:r w:rsidRPr="00D13AAE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sind</w:t>
      </w:r>
      <w:proofErr w:type="spellEnd"/>
      <w:r w:rsidRPr="00D13AAE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 xml:space="preserve"> die </w:t>
      </w:r>
      <w:proofErr w:type="spellStart"/>
      <w:r w:rsidRPr="00D13AAE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Vögel</w:t>
      </w:r>
      <w:proofErr w:type="spellEnd"/>
      <w:r w:rsidRPr="00D13AAE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 xml:space="preserve"> </w:t>
      </w:r>
      <w:proofErr w:type="spellStart"/>
      <w:r w:rsidRPr="00D13AAE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völlig</w:t>
      </w:r>
      <w:proofErr w:type="spellEnd"/>
      <w:r w:rsidRPr="00D13AAE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 xml:space="preserve"> </w:t>
      </w:r>
      <w:proofErr w:type="spellStart"/>
      <w:r w:rsidRPr="00D13AAE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umgestellt</w:t>
      </w:r>
      <w:proofErr w:type="spellEnd"/>
      <w:r w:rsidRPr="00D13AAE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.</w:t>
      </w:r>
    </w:p>
    <w:sectPr w:rsidR="00D1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AE"/>
    <w:rsid w:val="0029547B"/>
    <w:rsid w:val="00D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E7B5D-CFB9-4A17-93C6-60F413D1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13AAE"/>
    <w:rPr>
      <w:b/>
      <w:bCs/>
    </w:rPr>
  </w:style>
  <w:style w:type="character" w:customStyle="1" w:styleId="apple-converted-space">
    <w:name w:val="apple-converted-space"/>
    <w:basedOn w:val="Standaardalinea-lettertype"/>
    <w:rsid w:val="00D1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van der Wal</dc:creator>
  <cp:keywords/>
  <dc:description/>
  <cp:lastModifiedBy>Cor van der Wal</cp:lastModifiedBy>
  <cp:revision>1</cp:revision>
  <dcterms:created xsi:type="dcterms:W3CDTF">2013-09-22T10:23:00Z</dcterms:created>
  <dcterms:modified xsi:type="dcterms:W3CDTF">2013-09-22T10:25:00Z</dcterms:modified>
</cp:coreProperties>
</file>